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6F" w:rsidRDefault="00D6474A">
      <w:bookmarkStart w:id="0" w:name="_GoBack"/>
      <w:bookmarkEnd w:id="0"/>
      <w:r>
        <w:t>Краткий а</w:t>
      </w:r>
      <w:r w:rsidR="00231A14">
        <w:t>нализ данных обратной связи от специалистов, работающих в сфере поддержки выпускников, полученной в ходе проекта «Шаг вперед: развитие системы постинтернатного сопровождения выпускников детских домов Владимирской области» .</w:t>
      </w:r>
    </w:p>
    <w:p w:rsidR="00231A14" w:rsidRDefault="00231A14">
      <w:r>
        <w:t xml:space="preserve">Одной из наших задач было, выяснить насколько специалисты, прошедшие обучение по программе «Сопровождение выпускников всех форм попечения»  разделяют транслируемые ценности и следуют им на практике.  Наша гипотеза состояла в том, что специалисты, прошедшие обучение, считают транслируемые ценности более важными, чем специалисты, которые не проходили обучение. И в то же время им проще следовать этим ценностям по сравнению со специалистами, не проходившими обучения. К сожалению, собранных данных оказалось недостаточно, чтобы </w:t>
      </w:r>
      <w:r w:rsidR="00004383">
        <w:t xml:space="preserve">напрямую </w:t>
      </w:r>
      <w:r>
        <w:t>подтвердить или опровергнуть данные предположения. В основном это связано с тем, что среди участников опроса практически не оказалось тех, кто не принимал участие в обучающих мероприятиях</w:t>
      </w:r>
      <w:r w:rsidR="00004383">
        <w:t>,</w:t>
      </w:r>
      <w:r>
        <w:t xml:space="preserve"> и провести сравнительный анализ оказалось невозможным.  </w:t>
      </w:r>
    </w:p>
    <w:p w:rsidR="00004383" w:rsidRDefault="00004383">
      <w:r>
        <w:t xml:space="preserve">Косвенным подтверждением нашей гипотезы можно считать наличие следующих статистически значимых связей: </w:t>
      </w:r>
    </w:p>
    <w:p w:rsidR="00C6686E" w:rsidRDefault="00004383" w:rsidP="00004383">
      <w:pPr>
        <w:pStyle w:val="a3"/>
        <w:numPr>
          <w:ilvl w:val="0"/>
          <w:numId w:val="1"/>
        </w:numPr>
      </w:pPr>
      <w:r>
        <w:t>высокая оценка опрошенными специалистами важности следовать правилу «</w:t>
      </w:r>
      <w:r w:rsidRPr="00004383">
        <w:t>Давать возможность действовать самостоятельно, не делать за него</w:t>
      </w:r>
      <w:r>
        <w:t>» связана с низкой оценкой сложности использования во взаимодействии с выпускником комфортных для него форм общения (</w:t>
      </w:r>
      <w:r>
        <w:rPr>
          <w:rFonts w:cstheme="minorHAnsi"/>
        </w:rPr>
        <w:t>ρ</w:t>
      </w:r>
      <w:r>
        <w:t>=-0,49, уровень значимости 0,05). Другими словами, чем более важным считает специалист предоставлять самостоятельность выпускнику, тем легче ему с ним общаться</w:t>
      </w:r>
      <w:r w:rsidR="00C6686E">
        <w:t>;</w:t>
      </w:r>
    </w:p>
    <w:p w:rsidR="00AA2087" w:rsidRDefault="00C6686E" w:rsidP="00AA2087">
      <w:pPr>
        <w:pStyle w:val="a3"/>
        <w:numPr>
          <w:ilvl w:val="0"/>
          <w:numId w:val="1"/>
        </w:numPr>
      </w:pPr>
      <w:r>
        <w:t xml:space="preserve">также высокая оценка важности предоставления </w:t>
      </w:r>
      <w:r w:rsidR="00004383">
        <w:t xml:space="preserve"> </w:t>
      </w:r>
      <w:r>
        <w:t>выпускнику самостоятельности  связана с признанием важности следующих правил</w:t>
      </w:r>
      <w:r w:rsidR="00AA2087">
        <w:t xml:space="preserve">: </w:t>
      </w:r>
      <w:r>
        <w:t xml:space="preserve"> «</w:t>
      </w:r>
      <w:r w:rsidRPr="00C6686E">
        <w:t>Иметь договоренности о времени  и периодичности встреч с выпускником</w:t>
      </w:r>
      <w:r>
        <w:t xml:space="preserve">» </w:t>
      </w:r>
      <w:bookmarkStart w:id="1" w:name="_Hlk20258983"/>
      <w:r w:rsidRPr="00C6686E">
        <w:t>(ρ=0,</w:t>
      </w:r>
      <w:r>
        <w:t>51</w:t>
      </w:r>
      <w:r w:rsidRPr="00C6686E">
        <w:t>, уровень значимости 0,05)</w:t>
      </w:r>
      <w:bookmarkEnd w:id="1"/>
      <w:r w:rsidR="00AA2087">
        <w:t xml:space="preserve"> и </w:t>
      </w:r>
      <w:r w:rsidR="00AA2087" w:rsidRPr="00AA2087">
        <w:t xml:space="preserve"> </w:t>
      </w:r>
      <w:r w:rsidR="00AA2087">
        <w:t>«</w:t>
      </w:r>
      <w:r w:rsidR="00AA2087" w:rsidRPr="00AA2087">
        <w:t>Совместно с выпускником обсуждать  решение проблемы</w:t>
      </w:r>
      <w:r w:rsidR="00AA2087">
        <w:t>» (</w:t>
      </w:r>
      <w:r w:rsidR="00AA2087" w:rsidRPr="00C6686E">
        <w:t>ρ=0,</w:t>
      </w:r>
      <w:r w:rsidR="00AA2087">
        <w:t>45</w:t>
      </w:r>
      <w:r w:rsidR="00AA2087" w:rsidRPr="00C6686E">
        <w:t>, уровень значимости 0,05)</w:t>
      </w:r>
      <w:r w:rsidR="00AA2087">
        <w:t>;</w:t>
      </w:r>
    </w:p>
    <w:p w:rsidR="00AA2087" w:rsidRPr="00AA2087" w:rsidRDefault="00AA2087" w:rsidP="00AA2087">
      <w:pPr>
        <w:pStyle w:val="a3"/>
        <w:numPr>
          <w:ilvl w:val="0"/>
          <w:numId w:val="1"/>
        </w:numPr>
      </w:pPr>
      <w:r>
        <w:t>чем более важным считает специалист следование правилу «</w:t>
      </w:r>
      <w:r w:rsidRPr="00AA2087">
        <w:t>Лучше дать выпускнику один раз что-то сделать, чем много раз рассказать, как это сделать</w:t>
      </w:r>
      <w:r>
        <w:t>», тем более важным для него является следование правилам «</w:t>
      </w:r>
      <w:r w:rsidRPr="00AA2087">
        <w:t>Договариваться с выпускником, какие действия для решения проблемы он будет делать сам</w:t>
      </w:r>
      <w:r>
        <w:t xml:space="preserve">» </w:t>
      </w:r>
      <w:r w:rsidRPr="00AA2087">
        <w:t>(ρ=0,</w:t>
      </w:r>
      <w:r>
        <w:t>66</w:t>
      </w:r>
      <w:r w:rsidRPr="00AA2087">
        <w:t>, уровень значимости 0,05)</w:t>
      </w:r>
      <w:r>
        <w:t xml:space="preserve"> и «</w:t>
      </w:r>
      <w:r w:rsidRPr="00AA2087">
        <w:t>Знать мнение выпускника о том, как он видит ситуацию и варианты решения проблемы</w:t>
      </w:r>
      <w:r>
        <w:t xml:space="preserve">» </w:t>
      </w:r>
      <w:r w:rsidRPr="00AA2087">
        <w:t>(ρ=0,</w:t>
      </w:r>
      <w:r>
        <w:t>49</w:t>
      </w:r>
      <w:r w:rsidRPr="00AA2087">
        <w:t>, уровень значимости 0,05)</w:t>
      </w:r>
      <w:r>
        <w:t xml:space="preserve"> </w:t>
      </w:r>
      <w:r w:rsidRPr="00AA2087">
        <w:t xml:space="preserve"> </w:t>
      </w:r>
    </w:p>
    <w:p w:rsidR="00C6686E" w:rsidRPr="00C6686E" w:rsidRDefault="00A41906" w:rsidP="00F3435B">
      <w:pPr>
        <w:pStyle w:val="a3"/>
        <w:numPr>
          <w:ilvl w:val="0"/>
          <w:numId w:val="1"/>
        </w:numPr>
      </w:pPr>
      <w:r>
        <w:t>высокая готовность специалистов, прошедших обучение, рекомендовать программу обучения своим коллегам связана с высокой оценкой важности следовать следующим правилам: «</w:t>
      </w:r>
      <w:r w:rsidRPr="00004383">
        <w:t>Давать возможность действовать самостоятельно, не делать за него</w:t>
      </w:r>
      <w:r>
        <w:t>» (</w:t>
      </w:r>
      <w:r w:rsidRPr="00A41906">
        <w:rPr>
          <w:rFonts w:cstheme="minorHAnsi"/>
        </w:rPr>
        <w:t>ρ</w:t>
      </w:r>
      <w:r>
        <w:t>=0,51, уровень значимости 0,05), «</w:t>
      </w:r>
      <w:r w:rsidRPr="00A41906">
        <w:t>Иметь договоренности о времени  и периодичности встреч с выпускником</w:t>
      </w:r>
      <w:r>
        <w:t>» (</w:t>
      </w:r>
      <w:r w:rsidRPr="00A41906">
        <w:t>ρ=0,51, уровень значимости 0,05)</w:t>
      </w:r>
      <w:r>
        <w:t>, «</w:t>
      </w:r>
      <w:r w:rsidRPr="00A41906">
        <w:rPr>
          <w:rFonts w:ascii="Calibri" w:eastAsia="Times New Roman" w:hAnsi="Calibri" w:cs="Calibri"/>
          <w:color w:val="000000"/>
          <w:lang w:eastAsia="ru-RU"/>
        </w:rPr>
        <w:t xml:space="preserve">Придерживаться сложившихся достигнутых договоренностей с выпускником» (ρ=0,45, уровень значимости 0,05). </w:t>
      </w:r>
      <w:r>
        <w:rPr>
          <w:rFonts w:ascii="Calibri" w:eastAsia="Times New Roman" w:hAnsi="Calibri" w:cs="Calibri"/>
          <w:color w:val="000000"/>
          <w:lang w:eastAsia="ru-RU"/>
        </w:rPr>
        <w:t xml:space="preserve"> По нашему мнению, развитие самостоятельности </w:t>
      </w:r>
      <w:r w:rsidR="00F3435B">
        <w:rPr>
          <w:rFonts w:ascii="Calibri" w:eastAsia="Times New Roman" w:hAnsi="Calibri" w:cs="Calibri"/>
          <w:color w:val="000000"/>
          <w:lang w:eastAsia="ru-RU"/>
        </w:rPr>
        <w:t xml:space="preserve">выпускника </w:t>
      </w:r>
      <w:r>
        <w:rPr>
          <w:rFonts w:ascii="Calibri" w:eastAsia="Times New Roman" w:hAnsi="Calibri" w:cs="Calibri"/>
          <w:color w:val="000000"/>
          <w:lang w:eastAsia="ru-RU"/>
        </w:rPr>
        <w:t xml:space="preserve">и умение </w:t>
      </w:r>
      <w:r w:rsidR="00F3435B">
        <w:rPr>
          <w:rFonts w:ascii="Calibri" w:eastAsia="Times New Roman" w:hAnsi="Calibri" w:cs="Calibri"/>
          <w:color w:val="000000"/>
          <w:lang w:eastAsia="ru-RU"/>
        </w:rPr>
        <w:t xml:space="preserve">с ним </w:t>
      </w:r>
      <w:r>
        <w:rPr>
          <w:rFonts w:ascii="Calibri" w:eastAsia="Times New Roman" w:hAnsi="Calibri" w:cs="Calibri"/>
          <w:color w:val="000000"/>
          <w:lang w:eastAsia="ru-RU"/>
        </w:rPr>
        <w:t>договариваться</w:t>
      </w:r>
      <w:r w:rsidR="00F3435B">
        <w:rPr>
          <w:rFonts w:ascii="Calibri" w:eastAsia="Times New Roman" w:hAnsi="Calibri" w:cs="Calibri"/>
          <w:color w:val="000000"/>
          <w:lang w:eastAsia="ru-RU"/>
        </w:rPr>
        <w:t xml:space="preserve"> является ключевыми элементами в передаваемой в процессе обучения технологии индивидуального сопровождения. И ожидаемо, что респонденты лояльные к программе будут разделять именно эти ценности</w:t>
      </w:r>
      <w:r w:rsidR="00C6686E">
        <w:rPr>
          <w:rFonts w:ascii="Calibri" w:eastAsia="Times New Roman" w:hAnsi="Calibri" w:cs="Calibri"/>
          <w:color w:val="000000"/>
          <w:lang w:eastAsia="ru-RU"/>
        </w:rPr>
        <w:t>;</w:t>
      </w:r>
    </w:p>
    <w:p w:rsidR="00D43992" w:rsidRDefault="00D43992" w:rsidP="00D43992">
      <w:pPr>
        <w:pStyle w:val="a3"/>
        <w:ind w:left="0"/>
      </w:pPr>
    </w:p>
    <w:p w:rsidR="00C6686E" w:rsidRDefault="00640C8D" w:rsidP="00640C8D">
      <w:pPr>
        <w:pStyle w:val="a3"/>
        <w:ind w:left="0"/>
      </w:pPr>
      <w:r>
        <w:t xml:space="preserve">Дополнительно </w:t>
      </w:r>
      <w:r w:rsidR="00D43992">
        <w:t>отметим</w:t>
      </w:r>
      <w:r>
        <w:t>, что оц</w:t>
      </w:r>
      <w:r w:rsidR="00D43992">
        <w:t>енка сложности следования то</w:t>
      </w:r>
      <w:r>
        <w:t>му</w:t>
      </w:r>
      <w:r w:rsidR="00D43992">
        <w:t xml:space="preserve"> или ино</w:t>
      </w:r>
      <w:r>
        <w:t>му</w:t>
      </w:r>
      <w:r w:rsidR="00D43992">
        <w:t xml:space="preserve"> из предложенных в анкете правил связана с оценкой сложности следования всем другим </w:t>
      </w:r>
      <w:r w:rsidR="001966FA">
        <w:t xml:space="preserve">предложенным </w:t>
      </w:r>
      <w:r w:rsidR="00D43992">
        <w:t>правилам. Можно предположить, что оценка сложности не зависит от предлагаемого правила, а основывается на общей недифференцированной оценке. Если специалисту в целом легко взаимодействовать с выпускником, то ему легко и в каждом конкретном случае</w:t>
      </w:r>
      <w:r w:rsidR="00C6686E">
        <w:t>. И наоборот, если в целом общение с выпускниками не складывается, то сложно следовать и отдельным правилам</w:t>
      </w:r>
      <w:r>
        <w:t>.</w:t>
      </w:r>
    </w:p>
    <w:p w:rsidR="00D43992" w:rsidRDefault="00C6686E" w:rsidP="00640C8D">
      <w:pPr>
        <w:ind w:left="360"/>
      </w:pPr>
      <w:r>
        <w:lastRenderedPageBreak/>
        <w:t xml:space="preserve"> </w:t>
      </w:r>
      <w:r w:rsidR="00640C8D">
        <w:rPr>
          <w:noProof/>
          <w:lang w:eastAsia="ru-RU"/>
        </w:rPr>
        <w:drawing>
          <wp:inline distT="0" distB="0" distL="0" distR="0" wp14:anchorId="4A64CD43">
            <wp:extent cx="5212715" cy="33286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6FA" w:rsidRDefault="001966FA" w:rsidP="00640C8D">
      <w:pPr>
        <w:ind w:left="360"/>
      </w:pPr>
    </w:p>
    <w:p w:rsidR="002D306A" w:rsidRPr="002D306A" w:rsidRDefault="002D306A" w:rsidP="002D306A">
      <w:pPr>
        <w:rPr>
          <w:rFonts w:ascii="Calibri" w:eastAsia="Times New Roman" w:hAnsi="Calibri" w:cs="Calibri"/>
          <w:color w:val="000000"/>
          <w:lang w:eastAsia="ru-RU"/>
        </w:rPr>
      </w:pPr>
      <w:r>
        <w:t>В целом, можно сказать, что респонденты выделяют важность следовать правилу «</w:t>
      </w:r>
      <w:r w:rsidRPr="002D306A">
        <w:rPr>
          <w:rFonts w:ascii="Calibri" w:eastAsia="Times New Roman" w:hAnsi="Calibri" w:cs="Calibri"/>
          <w:color w:val="000000"/>
          <w:lang w:eastAsia="ru-RU"/>
        </w:rPr>
        <w:t>Знать мнение выпускника о том, как он видит ситуацию и варианты решения проблемы</w:t>
      </w:r>
      <w:r>
        <w:rPr>
          <w:rFonts w:ascii="Calibri" w:eastAsia="Times New Roman" w:hAnsi="Calibri" w:cs="Calibri"/>
          <w:color w:val="000000"/>
          <w:lang w:eastAsia="ru-RU"/>
        </w:rPr>
        <w:t>»  (оценка важности данного правила имеет наибольшее количество выявленных статистических  значимых различий – в 4 случаях из 7 возможных) и лёгкость в соблюдении правила  «</w:t>
      </w:r>
      <w:r w:rsidRPr="002D306A">
        <w:rPr>
          <w:rFonts w:ascii="Calibri" w:eastAsia="Times New Roman" w:hAnsi="Calibri" w:cs="Calibri"/>
          <w:color w:val="000000"/>
          <w:lang w:eastAsia="ru-RU"/>
        </w:rPr>
        <w:t>В конце встречи договориться о том, когда состоится  следующая встреча</w:t>
      </w:r>
      <w:r>
        <w:rPr>
          <w:rFonts w:ascii="Calibri" w:eastAsia="Times New Roman" w:hAnsi="Calibri" w:cs="Calibri"/>
          <w:color w:val="000000"/>
          <w:lang w:eastAsia="ru-RU"/>
        </w:rPr>
        <w:t>» (в 3 случаях из 7 выявлены значимые различия).</w:t>
      </w:r>
      <w:r w:rsidRPr="002D306A">
        <w:rPr>
          <w:rFonts w:ascii="Calibri" w:eastAsia="Times New Roman" w:hAnsi="Calibri" w:cs="Calibri"/>
          <w:color w:val="000000"/>
          <w:lang w:eastAsia="ru-RU"/>
        </w:rPr>
        <w:t xml:space="preserve">  </w:t>
      </w:r>
    </w:p>
    <w:p w:rsidR="00CC5717" w:rsidRPr="00CC5717" w:rsidRDefault="001966FA" w:rsidP="00CC5717">
      <w:pPr>
        <w:rPr>
          <w:rFonts w:ascii="Calibri" w:eastAsia="Times New Roman" w:hAnsi="Calibri" w:cs="Calibri"/>
          <w:color w:val="000000"/>
          <w:lang w:eastAsia="ru-RU"/>
        </w:rPr>
      </w:pPr>
      <w:r>
        <w:t>Так как мы не собрали данные для предполагаемого сравнительного анализа, то мы решили сравнить между собой ответы специалистов, работающих в разных местах. Первую группу составили специалисты из организаций для детей-сирот (9 человек), вторую – специалисты из профессиональных образовательных организаций (12 человек) и третью – сотрудники органов опеки и попечительства (4 человека) и сотрудники центра постинтернатного сопровождения (3 человека). В силу не о</w:t>
      </w:r>
      <w:r w:rsidR="007B57F9">
        <w:t>ч</w:t>
      </w:r>
      <w:r>
        <w:t xml:space="preserve">ень большого количественного состава групп мы </w:t>
      </w:r>
      <w:r w:rsidR="007B57F9">
        <w:t>можем</w:t>
      </w:r>
      <w:r>
        <w:t xml:space="preserve"> говорить только о фактах, которые представляют </w:t>
      </w:r>
      <w:r w:rsidR="007B57F9">
        <w:t xml:space="preserve">интерес для дальнейшего изучения. </w:t>
      </w:r>
      <w:r w:rsidR="00452F93">
        <w:t>Так, респонденты из профессиональных образовательных организаций считают наиболее важным следовать правилу «</w:t>
      </w:r>
      <w:r w:rsidR="00452F93" w:rsidRPr="00452F93">
        <w:rPr>
          <w:rFonts w:ascii="Calibri" w:eastAsia="Times New Roman" w:hAnsi="Calibri" w:cs="Calibri"/>
          <w:color w:val="000000"/>
          <w:lang w:eastAsia="ru-RU"/>
        </w:rPr>
        <w:t>Совместно с выпускником обсуждать  решение проблемы</w:t>
      </w:r>
      <w:r w:rsidR="00452F93">
        <w:rPr>
          <w:rFonts w:ascii="Calibri" w:eastAsia="Times New Roman" w:hAnsi="Calibri" w:cs="Calibri"/>
          <w:color w:val="000000"/>
          <w:lang w:eastAsia="ru-RU"/>
        </w:rPr>
        <w:t>», тогда как специалисты двух групп самую высокую оценку по важности следования ставят правилу «</w:t>
      </w:r>
      <w:r w:rsidR="00452F93" w:rsidRPr="00452F93">
        <w:rPr>
          <w:rFonts w:ascii="Calibri" w:eastAsia="Times New Roman" w:hAnsi="Calibri" w:cs="Calibri"/>
          <w:color w:val="000000"/>
          <w:lang w:eastAsia="ru-RU"/>
        </w:rPr>
        <w:t>Знать мнение выпускника о том, как он видит ситуацию и варианты решения проблемы</w:t>
      </w:r>
      <w:r w:rsidR="00452F93">
        <w:rPr>
          <w:rFonts w:ascii="Calibri" w:eastAsia="Times New Roman" w:hAnsi="Calibri" w:cs="Calibri"/>
          <w:color w:val="000000"/>
          <w:lang w:eastAsia="ru-RU"/>
        </w:rPr>
        <w:t>». В наибольшей степени специалистам из организаций для детей-сирот сложно следовать правилу «</w:t>
      </w:r>
      <w:r w:rsidR="00452F93" w:rsidRPr="00452F93">
        <w:rPr>
          <w:rFonts w:ascii="Calibri" w:eastAsia="Times New Roman" w:hAnsi="Calibri" w:cs="Calibri"/>
          <w:color w:val="000000"/>
          <w:lang w:eastAsia="ru-RU"/>
        </w:rPr>
        <w:t>Привлекать выпускника к решению задач, даже если ее можно решить без его участия</w:t>
      </w:r>
      <w:r w:rsidR="00452F93">
        <w:rPr>
          <w:rFonts w:ascii="Calibri" w:eastAsia="Times New Roman" w:hAnsi="Calibri" w:cs="Calibri"/>
          <w:color w:val="000000"/>
          <w:lang w:eastAsia="ru-RU"/>
        </w:rPr>
        <w:t>»</w:t>
      </w:r>
      <w:r w:rsidR="00CC5717">
        <w:rPr>
          <w:rFonts w:ascii="Calibri" w:eastAsia="Times New Roman" w:hAnsi="Calibri" w:cs="Calibri"/>
          <w:color w:val="000000"/>
          <w:lang w:eastAsia="ru-RU"/>
        </w:rPr>
        <w:t xml:space="preserve"> (</w:t>
      </w:r>
      <w:r w:rsidR="00CC5717" w:rsidRPr="00CC5717">
        <w:rPr>
          <w:rFonts w:ascii="Calibri" w:eastAsia="Times New Roman" w:hAnsi="Calibri" w:cs="Calibri"/>
          <w:color w:val="000000"/>
          <w:lang w:eastAsia="ru-RU"/>
        </w:rPr>
        <w:t xml:space="preserve">средняя оценка </w:t>
      </w:r>
      <w:r w:rsidR="00CC5717">
        <w:rPr>
          <w:rFonts w:ascii="Calibri" w:eastAsia="Times New Roman" w:hAnsi="Calibri" w:cs="Calibri"/>
          <w:color w:val="000000"/>
          <w:lang w:eastAsia="ru-RU"/>
        </w:rPr>
        <w:t>4,4</w:t>
      </w:r>
      <w:r w:rsidR="00CC5717" w:rsidRPr="00CC5717">
        <w:rPr>
          <w:rFonts w:ascii="Calibri" w:eastAsia="Times New Roman" w:hAnsi="Calibri" w:cs="Calibri"/>
          <w:color w:val="000000"/>
          <w:lang w:eastAsia="ru-RU"/>
        </w:rPr>
        <w:t>)</w:t>
      </w:r>
      <w:r w:rsidR="00CC5717">
        <w:rPr>
          <w:rFonts w:ascii="Calibri" w:eastAsia="Times New Roman" w:hAnsi="Calibri" w:cs="Calibri"/>
          <w:color w:val="000000"/>
          <w:lang w:eastAsia="ru-RU"/>
        </w:rPr>
        <w:t xml:space="preserve">, специалистам из профессиональных образовательных организаций – « </w:t>
      </w:r>
      <w:r w:rsidR="00CC5717" w:rsidRPr="00CC5717">
        <w:rPr>
          <w:rFonts w:ascii="Calibri" w:eastAsia="Times New Roman" w:hAnsi="Calibri" w:cs="Calibri"/>
          <w:color w:val="000000"/>
          <w:lang w:eastAsia="ru-RU"/>
        </w:rPr>
        <w:t>Ждать, пока выпускник сделает то, о чем мы с ним договорились</w:t>
      </w:r>
      <w:r w:rsidR="00CC5717">
        <w:rPr>
          <w:rFonts w:ascii="Calibri" w:eastAsia="Times New Roman" w:hAnsi="Calibri" w:cs="Calibri"/>
          <w:color w:val="000000"/>
          <w:lang w:eastAsia="ru-RU"/>
        </w:rPr>
        <w:t>» (средняя оценка 3,7), специалистам третьей группы – «</w:t>
      </w:r>
      <w:r w:rsidR="00CC5717" w:rsidRPr="00CC5717">
        <w:rPr>
          <w:rFonts w:ascii="Calibri" w:eastAsia="Times New Roman" w:hAnsi="Calibri" w:cs="Calibri"/>
          <w:color w:val="000000"/>
          <w:lang w:eastAsia="ru-RU"/>
        </w:rPr>
        <w:t>Обсуждать с выпускником  его варианты решения создавшейся неблагополучной ситуации  наравне со своими</w:t>
      </w:r>
      <w:r w:rsidR="00CC5717">
        <w:rPr>
          <w:rFonts w:ascii="Calibri" w:eastAsia="Times New Roman" w:hAnsi="Calibri" w:cs="Calibri"/>
          <w:color w:val="000000"/>
          <w:lang w:eastAsia="ru-RU"/>
        </w:rPr>
        <w:t>» (средняя оценка 3,0).</w:t>
      </w:r>
    </w:p>
    <w:p w:rsidR="001966FA" w:rsidRDefault="00487A0E" w:rsidP="00640C8D">
      <w:pPr>
        <w:ind w:left="360"/>
      </w:pPr>
      <w:r>
        <w:t>М</w:t>
      </w:r>
      <w:r w:rsidR="007B57F9">
        <w:t xml:space="preserve">ожно предположить, что оценка важности следования предложенным в анкете правилам практически не зависит от места работы, тогда как на сложность соблюдения правил, </w:t>
      </w:r>
      <w:r w:rsidR="002D306A">
        <w:t xml:space="preserve">место работы, </w:t>
      </w:r>
      <w:r w:rsidR="007B57F9">
        <w:t>возможно, влияет</w:t>
      </w:r>
      <w:r>
        <w:t xml:space="preserve"> (см. рис. ниже)</w:t>
      </w:r>
      <w:r w:rsidR="007B57F9">
        <w:t xml:space="preserve">. </w:t>
      </w:r>
    </w:p>
    <w:p w:rsidR="007B57F9" w:rsidRDefault="007B57F9" w:rsidP="007B57F9">
      <w:r>
        <w:rPr>
          <w:noProof/>
          <w:lang w:eastAsia="ru-RU"/>
        </w:rPr>
        <w:lastRenderedPageBreak/>
        <w:drawing>
          <wp:inline distT="0" distB="0" distL="0" distR="0" wp14:anchorId="50DF31F0">
            <wp:extent cx="6318885" cy="427142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46" cy="4275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A0E" w:rsidRDefault="00487A0E" w:rsidP="007B57F9"/>
    <w:p w:rsidR="00D16E1B" w:rsidRPr="00D16E1B" w:rsidRDefault="00D16E1B" w:rsidP="00D16E1B">
      <w:pPr>
        <w:rPr>
          <w:rFonts w:ascii="Calibri" w:eastAsia="Times New Roman" w:hAnsi="Calibri" w:cs="Calibri"/>
          <w:color w:val="000000"/>
          <w:lang w:eastAsia="ru-RU"/>
        </w:rPr>
      </w:pPr>
      <w:r>
        <w:t>Место работы также может влиять на процент респондентов внутри  группы, поставивших ту или иную оценку. Для удобства мы сгруппировали оценки «1» и «2» - в низкий уровень, «3» и «4» -  в  средний, «5» и «6»  - в высокий. Например, среди сотрудников опеки и попечительства и сотрудников центра, больше, чем две пятых опрошенных (42,9%)  оценивают важность следования правилу  «</w:t>
      </w:r>
      <w:r w:rsidRPr="00D16E1B">
        <w:rPr>
          <w:rFonts w:ascii="Calibri" w:eastAsia="Times New Roman" w:hAnsi="Calibri" w:cs="Calibri"/>
          <w:color w:val="000000"/>
          <w:lang w:eastAsia="ru-RU"/>
        </w:rPr>
        <w:t>Иметь договоренности о времени  и периодичности встреч с выпускником</w:t>
      </w:r>
      <w:r>
        <w:rPr>
          <w:rFonts w:ascii="Calibri" w:eastAsia="Times New Roman" w:hAnsi="Calibri" w:cs="Calibri"/>
          <w:color w:val="000000"/>
          <w:lang w:eastAsia="ru-RU"/>
        </w:rPr>
        <w:t>» как среднюю.</w:t>
      </w:r>
    </w:p>
    <w:p w:rsidR="00487A0E" w:rsidRDefault="00D16E1B" w:rsidP="007B57F9">
      <w:r>
        <w:rPr>
          <w:noProof/>
          <w:lang w:eastAsia="ru-RU"/>
        </w:rPr>
        <w:drawing>
          <wp:inline distT="0" distB="0" distL="0" distR="0" wp14:anchorId="6680638E">
            <wp:extent cx="5803900" cy="329819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71D" w:rsidRDefault="004E7B5E" w:rsidP="007B57F9">
      <w:r>
        <w:lastRenderedPageBreak/>
        <w:t xml:space="preserve">Если в оценке важности следования предложенным правилам различия </w:t>
      </w:r>
      <w:r w:rsidR="00E65914">
        <w:t xml:space="preserve">не столь очевидны, то </w:t>
      </w:r>
      <w:r>
        <w:t xml:space="preserve"> </w:t>
      </w:r>
      <w:r w:rsidR="008B5083">
        <w:t>при оценке сложности следования правилам</w:t>
      </w:r>
      <w:r w:rsidR="00E65914">
        <w:t xml:space="preserve"> они становятся более заметными</w:t>
      </w:r>
      <w:r w:rsidR="008B5083">
        <w:t>. Например, договориться о следующей встрече легче всего могут сотрудники профессиональных образовательных организаций, половина из них считает это совсем не сложным. Тогда, как среди специалистов детских домов так считают всего треть опрошенных.</w:t>
      </w:r>
    </w:p>
    <w:p w:rsidR="0087371D" w:rsidRDefault="0087371D" w:rsidP="007B57F9">
      <w:r>
        <w:rPr>
          <w:noProof/>
          <w:lang w:eastAsia="ru-RU"/>
        </w:rPr>
        <w:drawing>
          <wp:inline distT="0" distB="0" distL="0" distR="0" wp14:anchorId="4495A178" wp14:editId="7781126D">
            <wp:extent cx="5791200" cy="3284220"/>
            <wp:effectExtent l="0" t="0" r="0" b="1143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C6DD8D-F6A7-4D22-A7E3-9D82EA978F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5083" w:rsidRDefault="008B5083" w:rsidP="007B57F9">
      <w:r>
        <w:t xml:space="preserve">На доступном нам уровне анализа мы можем </w:t>
      </w:r>
      <w:r w:rsidR="004E7B5E">
        <w:t>предположить, что наибольшие сложности в следовании предложенным правилам испытывают респонденты из организаций для детей-сирот, наименьшую – респонденты из  органов опеки и попечительства и центра постинтернатного сопровождения (см. Таблицу). Возможно, это связано с удаленностью выпускника от специалистов детского дома или с сохранением у них опекающей позиции.</w:t>
      </w:r>
    </w:p>
    <w:p w:rsidR="004E7B5E" w:rsidRDefault="004E7B5E" w:rsidP="004E7B5E">
      <w:pPr>
        <w:jc w:val="right"/>
      </w:pPr>
      <w:r>
        <w:t>Таблица</w:t>
      </w:r>
    </w:p>
    <w:p w:rsidR="004E7B5E" w:rsidRDefault="004E7B5E" w:rsidP="004E7B5E">
      <w:pPr>
        <w:jc w:val="center"/>
      </w:pPr>
      <w:r>
        <w:t>Распределение респондентов по уровням оценки сложности следования предложенным правилам в зависимости от места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831"/>
        <w:gridCol w:w="830"/>
        <w:gridCol w:w="831"/>
        <w:gridCol w:w="831"/>
        <w:gridCol w:w="831"/>
        <w:gridCol w:w="831"/>
        <w:gridCol w:w="831"/>
        <w:gridCol w:w="831"/>
        <w:gridCol w:w="831"/>
      </w:tblGrid>
      <w:tr w:rsidR="008B5083" w:rsidRPr="008B5083" w:rsidTr="008B5083">
        <w:trPr>
          <w:trHeight w:val="1152"/>
        </w:trPr>
        <w:tc>
          <w:tcPr>
            <w:tcW w:w="1867" w:type="dxa"/>
          </w:tcPr>
          <w:p w:rsidR="008B5083" w:rsidRPr="008B5083" w:rsidRDefault="008B5083"/>
        </w:tc>
        <w:tc>
          <w:tcPr>
            <w:tcW w:w="2492" w:type="dxa"/>
            <w:gridSpan w:val="3"/>
            <w:noWrap/>
          </w:tcPr>
          <w:p w:rsidR="008B5083" w:rsidRPr="008B5083" w:rsidRDefault="008B5083" w:rsidP="008B5083">
            <w:r>
              <w:t>Организации для детей-сирот</w:t>
            </w:r>
          </w:p>
        </w:tc>
        <w:tc>
          <w:tcPr>
            <w:tcW w:w="2493" w:type="dxa"/>
            <w:gridSpan w:val="3"/>
            <w:noWrap/>
          </w:tcPr>
          <w:p w:rsidR="008B5083" w:rsidRPr="008B5083" w:rsidRDefault="008B5083" w:rsidP="008B5083">
            <w:r>
              <w:t>Профессиональные образовательные организации</w:t>
            </w:r>
          </w:p>
        </w:tc>
        <w:tc>
          <w:tcPr>
            <w:tcW w:w="2493" w:type="dxa"/>
            <w:gridSpan w:val="3"/>
            <w:noWrap/>
          </w:tcPr>
          <w:p w:rsidR="008B5083" w:rsidRPr="008B5083" w:rsidRDefault="008B5083" w:rsidP="008B5083">
            <w:r>
              <w:t>Органы опеки и попечительства, Центр постинтернатного сопровождения</w:t>
            </w:r>
          </w:p>
        </w:tc>
      </w:tr>
      <w:tr w:rsidR="008B5083" w:rsidRPr="008B5083" w:rsidTr="008B5083">
        <w:trPr>
          <w:trHeight w:val="497"/>
        </w:trPr>
        <w:tc>
          <w:tcPr>
            <w:tcW w:w="1867" w:type="dxa"/>
          </w:tcPr>
          <w:p w:rsidR="008B5083" w:rsidRPr="008B5083" w:rsidRDefault="008B5083" w:rsidP="008B5083">
            <w:bookmarkStart w:id="2" w:name="_Hlk20265608"/>
          </w:p>
        </w:tc>
        <w:tc>
          <w:tcPr>
            <w:tcW w:w="831" w:type="dxa"/>
            <w:noWrap/>
          </w:tcPr>
          <w:p w:rsidR="008B5083" w:rsidRPr="008B5083" w:rsidRDefault="008B5083" w:rsidP="008B5083">
            <w:r>
              <w:t>Н</w:t>
            </w:r>
          </w:p>
        </w:tc>
        <w:tc>
          <w:tcPr>
            <w:tcW w:w="830" w:type="dxa"/>
            <w:noWrap/>
          </w:tcPr>
          <w:p w:rsidR="008B5083" w:rsidRPr="008B5083" w:rsidRDefault="008B5083" w:rsidP="008B5083">
            <w:r>
              <w:t>С</w:t>
            </w:r>
          </w:p>
        </w:tc>
        <w:tc>
          <w:tcPr>
            <w:tcW w:w="831" w:type="dxa"/>
            <w:noWrap/>
          </w:tcPr>
          <w:p w:rsidR="008B5083" w:rsidRPr="008B5083" w:rsidRDefault="008B5083" w:rsidP="008B5083">
            <w:r>
              <w:t>В</w:t>
            </w:r>
          </w:p>
        </w:tc>
        <w:tc>
          <w:tcPr>
            <w:tcW w:w="831" w:type="dxa"/>
            <w:noWrap/>
          </w:tcPr>
          <w:p w:rsidR="008B5083" w:rsidRPr="008B5083" w:rsidRDefault="008B5083" w:rsidP="008B5083">
            <w:r>
              <w:t>Н</w:t>
            </w:r>
          </w:p>
        </w:tc>
        <w:tc>
          <w:tcPr>
            <w:tcW w:w="831" w:type="dxa"/>
            <w:noWrap/>
          </w:tcPr>
          <w:p w:rsidR="008B5083" w:rsidRPr="008B5083" w:rsidRDefault="008B5083" w:rsidP="008B5083">
            <w:r>
              <w:t>С</w:t>
            </w:r>
          </w:p>
        </w:tc>
        <w:tc>
          <w:tcPr>
            <w:tcW w:w="831" w:type="dxa"/>
            <w:noWrap/>
          </w:tcPr>
          <w:p w:rsidR="008B5083" w:rsidRPr="008B5083" w:rsidRDefault="008B5083" w:rsidP="008B5083">
            <w:r>
              <w:t>В</w:t>
            </w:r>
          </w:p>
        </w:tc>
        <w:tc>
          <w:tcPr>
            <w:tcW w:w="831" w:type="dxa"/>
            <w:noWrap/>
          </w:tcPr>
          <w:p w:rsidR="008B5083" w:rsidRPr="008B5083" w:rsidRDefault="008B5083" w:rsidP="008B5083">
            <w:r>
              <w:t>Н</w:t>
            </w:r>
          </w:p>
        </w:tc>
        <w:tc>
          <w:tcPr>
            <w:tcW w:w="831" w:type="dxa"/>
            <w:noWrap/>
          </w:tcPr>
          <w:p w:rsidR="008B5083" w:rsidRPr="008B5083" w:rsidRDefault="008B5083" w:rsidP="008B5083">
            <w:r>
              <w:t>С</w:t>
            </w:r>
          </w:p>
        </w:tc>
        <w:tc>
          <w:tcPr>
            <w:tcW w:w="831" w:type="dxa"/>
            <w:noWrap/>
          </w:tcPr>
          <w:p w:rsidR="008B5083" w:rsidRPr="008B5083" w:rsidRDefault="008B5083" w:rsidP="008B5083">
            <w:r>
              <w:t>В</w:t>
            </w:r>
          </w:p>
        </w:tc>
      </w:tr>
      <w:bookmarkEnd w:id="2"/>
      <w:tr w:rsidR="008B5083" w:rsidRPr="008B5083" w:rsidTr="008B5083">
        <w:trPr>
          <w:trHeight w:val="1152"/>
        </w:trPr>
        <w:tc>
          <w:tcPr>
            <w:tcW w:w="1867" w:type="dxa"/>
            <w:hideMark/>
          </w:tcPr>
          <w:p w:rsidR="008B5083" w:rsidRPr="008B5083" w:rsidRDefault="008B5083" w:rsidP="008B5083">
            <w:r w:rsidRPr="008B5083">
              <w:t xml:space="preserve">В конце встречи договориться о том, когда состоится  следующая встреча  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0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50%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42%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8%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0%</w:t>
            </w:r>
          </w:p>
        </w:tc>
      </w:tr>
      <w:tr w:rsidR="008B5083" w:rsidRPr="008B5083" w:rsidTr="008B5083">
        <w:trPr>
          <w:trHeight w:val="864"/>
        </w:trPr>
        <w:tc>
          <w:tcPr>
            <w:tcW w:w="1867" w:type="dxa"/>
            <w:hideMark/>
          </w:tcPr>
          <w:p w:rsidR="008B5083" w:rsidRPr="008B5083" w:rsidRDefault="008B5083" w:rsidP="008B5083">
            <w:r w:rsidRPr="008B5083">
              <w:t xml:space="preserve"> Использовать в общении с выпускником формы, комфортные для </w:t>
            </w:r>
            <w:r w:rsidRPr="008B5083">
              <w:lastRenderedPageBreak/>
              <w:t xml:space="preserve">него  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lastRenderedPageBreak/>
              <w:t>17%</w:t>
            </w:r>
          </w:p>
        </w:tc>
        <w:tc>
          <w:tcPr>
            <w:tcW w:w="830" w:type="dxa"/>
            <w:noWrap/>
            <w:hideMark/>
          </w:tcPr>
          <w:p w:rsidR="008B5083" w:rsidRPr="008B5083" w:rsidRDefault="008B5083" w:rsidP="008B5083">
            <w:r w:rsidRPr="008B5083">
              <w:t>50%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42%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25%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0%</w:t>
            </w:r>
          </w:p>
        </w:tc>
      </w:tr>
      <w:tr w:rsidR="008B5083" w:rsidRPr="008B5083" w:rsidTr="008B5083">
        <w:trPr>
          <w:trHeight w:val="1440"/>
        </w:trPr>
        <w:tc>
          <w:tcPr>
            <w:tcW w:w="1867" w:type="dxa"/>
            <w:hideMark/>
          </w:tcPr>
          <w:p w:rsidR="008B5083" w:rsidRPr="008B5083" w:rsidRDefault="008B5083" w:rsidP="008B5083">
            <w:r w:rsidRPr="008B5083">
              <w:lastRenderedPageBreak/>
              <w:t>Вместе с выпускником формулировать задачу, которую необходимо решить в ближайшее время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0" w:type="dxa"/>
            <w:noWrap/>
            <w:hideMark/>
          </w:tcPr>
          <w:p w:rsidR="008B5083" w:rsidRPr="008B5083" w:rsidRDefault="008B5083" w:rsidP="008B5083">
            <w:r w:rsidRPr="008B5083">
              <w:t>17%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50%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50%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17%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14%</w:t>
            </w:r>
          </w:p>
        </w:tc>
      </w:tr>
      <w:tr w:rsidR="008B5083" w:rsidRPr="008B5083" w:rsidTr="008B5083">
        <w:trPr>
          <w:trHeight w:val="1152"/>
        </w:trPr>
        <w:tc>
          <w:tcPr>
            <w:tcW w:w="1867" w:type="dxa"/>
            <w:hideMark/>
          </w:tcPr>
          <w:p w:rsidR="008B5083" w:rsidRPr="008B5083" w:rsidRDefault="008B5083" w:rsidP="008B5083">
            <w:r w:rsidRPr="008B5083">
              <w:t xml:space="preserve">Привлекать выпускника к решению задач, даже если ее можно решить без его участия 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17%</w:t>
            </w:r>
          </w:p>
        </w:tc>
        <w:tc>
          <w:tcPr>
            <w:tcW w:w="830" w:type="dxa"/>
            <w:noWrap/>
            <w:hideMark/>
          </w:tcPr>
          <w:p w:rsidR="008B5083" w:rsidRPr="008B5083" w:rsidRDefault="008B5083" w:rsidP="008B5083">
            <w:r w:rsidRPr="008B5083">
              <w:t>17%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50%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42%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25%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29%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71%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0%</w:t>
            </w:r>
          </w:p>
        </w:tc>
      </w:tr>
      <w:tr w:rsidR="008B5083" w:rsidRPr="008B5083" w:rsidTr="008B5083">
        <w:trPr>
          <w:trHeight w:val="1440"/>
        </w:trPr>
        <w:tc>
          <w:tcPr>
            <w:tcW w:w="1867" w:type="dxa"/>
            <w:hideMark/>
          </w:tcPr>
          <w:p w:rsidR="008B5083" w:rsidRPr="008B5083" w:rsidRDefault="008B5083" w:rsidP="008B5083">
            <w:r w:rsidRPr="008B5083">
              <w:t>Обсуждать с выпускником не только то, что он должен сделать, но и то, что я должна (должен) сделать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0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42%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25%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14%</w:t>
            </w:r>
          </w:p>
        </w:tc>
      </w:tr>
      <w:tr w:rsidR="008B5083" w:rsidRPr="008B5083" w:rsidTr="008B5083">
        <w:trPr>
          <w:trHeight w:val="864"/>
        </w:trPr>
        <w:tc>
          <w:tcPr>
            <w:tcW w:w="1867" w:type="dxa"/>
            <w:hideMark/>
          </w:tcPr>
          <w:p w:rsidR="008B5083" w:rsidRPr="008B5083" w:rsidRDefault="008B5083" w:rsidP="008B5083">
            <w:r w:rsidRPr="008B5083">
              <w:t>Ждать, пока выпускник сделает то, о чем мы с ним договорились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17%</w:t>
            </w:r>
          </w:p>
        </w:tc>
        <w:tc>
          <w:tcPr>
            <w:tcW w:w="830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50%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17%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67%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17%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29%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14%</w:t>
            </w:r>
          </w:p>
        </w:tc>
      </w:tr>
      <w:tr w:rsidR="008B5083" w:rsidRPr="008B5083" w:rsidTr="008B5083">
        <w:trPr>
          <w:trHeight w:val="864"/>
        </w:trPr>
        <w:tc>
          <w:tcPr>
            <w:tcW w:w="1867" w:type="dxa"/>
            <w:hideMark/>
          </w:tcPr>
          <w:p w:rsidR="008B5083" w:rsidRPr="008B5083" w:rsidRDefault="008B5083" w:rsidP="008B5083">
            <w:r w:rsidRPr="008B5083">
              <w:t>Проявлять интерес к разным сторонам жизни выпускника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0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58%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8%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29%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14%</w:t>
            </w:r>
          </w:p>
        </w:tc>
      </w:tr>
      <w:tr w:rsidR="008B5083" w:rsidRPr="008B5083" w:rsidTr="008B5083">
        <w:trPr>
          <w:trHeight w:val="2016"/>
        </w:trPr>
        <w:tc>
          <w:tcPr>
            <w:tcW w:w="1867" w:type="dxa"/>
            <w:hideMark/>
          </w:tcPr>
          <w:p w:rsidR="008B5083" w:rsidRPr="008B5083" w:rsidRDefault="008B5083" w:rsidP="008B5083">
            <w:r w:rsidRPr="008B5083">
              <w:t>Обсуждать с выпускником  его варианты решения создавшейся неблагополучной ситуации наравне со своими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0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33%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50%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25%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25%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43%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57%</w:t>
            </w:r>
          </w:p>
        </w:tc>
        <w:tc>
          <w:tcPr>
            <w:tcW w:w="831" w:type="dxa"/>
            <w:noWrap/>
            <w:hideMark/>
          </w:tcPr>
          <w:p w:rsidR="008B5083" w:rsidRPr="008B5083" w:rsidRDefault="008B5083" w:rsidP="008B5083">
            <w:r w:rsidRPr="008B5083">
              <w:t>0%</w:t>
            </w:r>
          </w:p>
        </w:tc>
      </w:tr>
    </w:tbl>
    <w:p w:rsidR="008B5083" w:rsidRDefault="008B5083" w:rsidP="007B57F9"/>
    <w:p w:rsidR="00552D6B" w:rsidRDefault="00552D6B" w:rsidP="007B57F9">
      <w:r>
        <w:t>Таким образом, мы можем сделать содержательные и организационные выводы.</w:t>
      </w:r>
    </w:p>
    <w:p w:rsidR="00552D6B" w:rsidRDefault="00552D6B" w:rsidP="007B57F9">
      <w:r>
        <w:t>Содержательные.</w:t>
      </w:r>
    </w:p>
    <w:p w:rsidR="00552D6B" w:rsidRDefault="00BB3ECD" w:rsidP="00BB3ECD">
      <w:pPr>
        <w:pStyle w:val="a3"/>
        <w:numPr>
          <w:ilvl w:val="0"/>
          <w:numId w:val="6"/>
        </w:numPr>
      </w:pPr>
      <w:r>
        <w:t>Для подтверждения или опровержения гипотез</w:t>
      </w:r>
      <w:r w:rsidR="00E84705">
        <w:t>ы</w:t>
      </w:r>
      <w:r>
        <w:t xml:space="preserve"> недостаточно данных.</w:t>
      </w:r>
    </w:p>
    <w:p w:rsidR="00E84705" w:rsidRDefault="00E84705" w:rsidP="00BB3ECD">
      <w:pPr>
        <w:pStyle w:val="a3"/>
        <w:numPr>
          <w:ilvl w:val="0"/>
          <w:numId w:val="6"/>
        </w:numPr>
      </w:pPr>
      <w:r>
        <w:t>Оценка важности и сложности следования предложенным правилам с большой долей вероятности связана с местом работы.</w:t>
      </w:r>
    </w:p>
    <w:p w:rsidR="00552D6B" w:rsidRDefault="00552D6B" w:rsidP="00552D6B">
      <w:r>
        <w:t>Организационные.</w:t>
      </w:r>
    </w:p>
    <w:p w:rsidR="00552D6B" w:rsidRDefault="00552D6B" w:rsidP="00552D6B">
      <w:pPr>
        <w:pStyle w:val="a3"/>
        <w:numPr>
          <w:ilvl w:val="0"/>
          <w:numId w:val="4"/>
        </w:numPr>
      </w:pPr>
      <w:r>
        <w:lastRenderedPageBreak/>
        <w:t xml:space="preserve">Доработать анкету, синхронизировав пункты предлагаемые для оценки важности и для оценки сложности, чтобы можно было проверить прямое соотношение важности и </w:t>
      </w:r>
      <w:r w:rsidR="009966D5">
        <w:t>с</w:t>
      </w:r>
      <w:r>
        <w:t>ложности.</w:t>
      </w:r>
    </w:p>
    <w:p w:rsidR="00552D6B" w:rsidRDefault="00552D6B" w:rsidP="00552D6B">
      <w:pPr>
        <w:pStyle w:val="a3"/>
        <w:numPr>
          <w:ilvl w:val="0"/>
          <w:numId w:val="4"/>
        </w:numPr>
      </w:pPr>
      <w:r>
        <w:t>Включить доработанную анкету в итоговый опрос по проекту.</w:t>
      </w:r>
    </w:p>
    <w:p w:rsidR="00552D6B" w:rsidRDefault="009966D5" w:rsidP="00552D6B">
      <w:pPr>
        <w:pStyle w:val="a3"/>
        <w:numPr>
          <w:ilvl w:val="0"/>
          <w:numId w:val="4"/>
        </w:numPr>
      </w:pPr>
      <w:r>
        <w:t>Анкету можно использовать как средство мониторинга, например повторить опрос через год после завершения проекта.</w:t>
      </w:r>
    </w:p>
    <w:p w:rsidR="009966D5" w:rsidRDefault="009966D5" w:rsidP="00552D6B">
      <w:pPr>
        <w:pStyle w:val="a3"/>
        <w:numPr>
          <w:ilvl w:val="0"/>
          <w:numId w:val="4"/>
        </w:numPr>
      </w:pPr>
      <w:r>
        <w:t>Обязательно при анализе данных учитывать место работы респондента.</w:t>
      </w:r>
    </w:p>
    <w:p w:rsidR="009966D5" w:rsidRDefault="009966D5" w:rsidP="009966D5"/>
    <w:p w:rsidR="009966D5" w:rsidRDefault="009966D5" w:rsidP="009966D5">
      <w:r>
        <w:t>Решения по изменению программы.</w:t>
      </w:r>
    </w:p>
    <w:p w:rsidR="009966D5" w:rsidRDefault="009966D5" w:rsidP="009966D5">
      <w:pPr>
        <w:pStyle w:val="a3"/>
        <w:numPr>
          <w:ilvl w:val="0"/>
          <w:numId w:val="5"/>
        </w:numPr>
      </w:pPr>
      <w:r>
        <w:t xml:space="preserve">Включить материал по типичным сложностям специалистов во взаимодействии с выпускниками </w:t>
      </w:r>
      <w:r w:rsidR="00E84705">
        <w:t xml:space="preserve">в зависимости от их места работы </w:t>
      </w:r>
      <w:r>
        <w:t xml:space="preserve">в соответствующий раздел программы.  </w:t>
      </w:r>
    </w:p>
    <w:sectPr w:rsidR="0099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288"/>
    <w:multiLevelType w:val="hybridMultilevel"/>
    <w:tmpl w:val="2788C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6E0C"/>
    <w:multiLevelType w:val="hybridMultilevel"/>
    <w:tmpl w:val="268AD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6E6E"/>
    <w:multiLevelType w:val="hybridMultilevel"/>
    <w:tmpl w:val="76341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6FBF"/>
    <w:multiLevelType w:val="hybridMultilevel"/>
    <w:tmpl w:val="B3F2E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41A2E"/>
    <w:multiLevelType w:val="hybridMultilevel"/>
    <w:tmpl w:val="13C85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F4377"/>
    <w:multiLevelType w:val="hybridMultilevel"/>
    <w:tmpl w:val="AF5A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14"/>
    <w:rsid w:val="00004383"/>
    <w:rsid w:val="0009348F"/>
    <w:rsid w:val="000E7371"/>
    <w:rsid w:val="001966FA"/>
    <w:rsid w:val="001B2338"/>
    <w:rsid w:val="002276A9"/>
    <w:rsid w:val="00231A14"/>
    <w:rsid w:val="002D306A"/>
    <w:rsid w:val="00323229"/>
    <w:rsid w:val="00452F93"/>
    <w:rsid w:val="00487A0E"/>
    <w:rsid w:val="004C645F"/>
    <w:rsid w:val="004E7B5E"/>
    <w:rsid w:val="00552D6B"/>
    <w:rsid w:val="00617AFB"/>
    <w:rsid w:val="00640C8D"/>
    <w:rsid w:val="00662F22"/>
    <w:rsid w:val="007B57F9"/>
    <w:rsid w:val="00872F11"/>
    <w:rsid w:val="0087371D"/>
    <w:rsid w:val="008B5083"/>
    <w:rsid w:val="009966D5"/>
    <w:rsid w:val="00A41906"/>
    <w:rsid w:val="00A47647"/>
    <w:rsid w:val="00A6509D"/>
    <w:rsid w:val="00AA2087"/>
    <w:rsid w:val="00BB3ECD"/>
    <w:rsid w:val="00C55B42"/>
    <w:rsid w:val="00C6686E"/>
    <w:rsid w:val="00CC5717"/>
    <w:rsid w:val="00D16E1B"/>
    <w:rsid w:val="00D43992"/>
    <w:rsid w:val="00D6474A"/>
    <w:rsid w:val="00E65914"/>
    <w:rsid w:val="00E84705"/>
    <w:rsid w:val="00E93220"/>
    <w:rsid w:val="00EC0ED7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83"/>
    <w:pPr>
      <w:ind w:left="720"/>
      <w:contextualSpacing/>
    </w:pPr>
  </w:style>
  <w:style w:type="table" w:styleId="a4">
    <w:name w:val="Table Grid"/>
    <w:basedOn w:val="a1"/>
    <w:uiPriority w:val="39"/>
    <w:rsid w:val="0000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83"/>
    <w:pPr>
      <w:ind w:left="720"/>
      <w:contextualSpacing/>
    </w:pPr>
  </w:style>
  <w:style w:type="table" w:styleId="a4">
    <w:name w:val="Table Grid"/>
    <w:basedOn w:val="a1"/>
    <w:uiPriority w:val="39"/>
    <w:rsid w:val="0000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/>
              <a:t>Оценка</a:t>
            </a:r>
            <a:r>
              <a:rPr lang="ru-RU" sz="1200" b="0" baseline="0"/>
              <a:t> сложности следования прав</a:t>
            </a:r>
            <a:r>
              <a:rPr lang="ru-RU" sz="1200" b="0"/>
              <a:t>илу "</a:t>
            </a:r>
            <a:r>
              <a:rPr lang="ru-RU" sz="1200" b="0" i="0" u="none" strike="noStrike" cap="all" normalizeH="0" baseline="0">
                <a:effectLst/>
              </a:rPr>
              <a:t>В конце встречи договориться о том, когда состоится  следующая встреча</a:t>
            </a:r>
            <a:r>
              <a:rPr lang="ru-RU" sz="1200" b="0" i="0" u="none" strike="noStrike" cap="all" normalizeH="0" baseline="0"/>
              <a:t>"</a:t>
            </a:r>
            <a:endParaRPr lang="ru-RU" sz="1200" b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Лист1!$B$62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Лист1!$A$63:$A$65</c:f>
              <c:strCache>
                <c:ptCount val="3"/>
                <c:pt idx="0">
                  <c:v>Организации для детей-сирот</c:v>
                </c:pt>
                <c:pt idx="1">
                  <c:v>Профессиональные образовательные организации</c:v>
                </c:pt>
                <c:pt idx="2">
                  <c:v>Органы опеки и попечительства, Центр постинтернатного сопровождения</c:v>
                </c:pt>
              </c:strCache>
            </c:strRef>
          </c:cat>
          <c:val>
            <c:numRef>
              <c:f>Лист1!$B$63:$B$65</c:f>
              <c:numCache>
                <c:formatCode>0%</c:formatCode>
                <c:ptCount val="3"/>
                <c:pt idx="0">
                  <c:v>0.33333333333333331</c:v>
                </c:pt>
                <c:pt idx="1">
                  <c:v>0.5</c:v>
                </c:pt>
                <c:pt idx="2">
                  <c:v>0.42857142857142855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59-4547-8855-BF23839488F9}"/>
            </c:ext>
          </c:extLst>
        </c:ser>
        <c:ser>
          <c:idx val="1"/>
          <c:order val="1"/>
          <c:tx>
            <c:strRef>
              <c:f>Лист1!$C$62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Лист1!$A$63:$A$65</c:f>
              <c:strCache>
                <c:ptCount val="3"/>
                <c:pt idx="0">
                  <c:v>Организации для детей-сирот</c:v>
                </c:pt>
                <c:pt idx="1">
                  <c:v>Профессиональные образовательные организации</c:v>
                </c:pt>
                <c:pt idx="2">
                  <c:v>Органы опеки и попечительства, Центр постинтернатного сопровождения</c:v>
                </c:pt>
              </c:strCache>
            </c:strRef>
          </c:cat>
          <c:val>
            <c:numRef>
              <c:f>Лист1!$C$63:$C$65</c:f>
              <c:numCache>
                <c:formatCode>0%</c:formatCode>
                <c:ptCount val="3"/>
                <c:pt idx="0">
                  <c:v>0.33333333333333331</c:v>
                </c:pt>
                <c:pt idx="1">
                  <c:v>0.41666666666666669</c:v>
                </c:pt>
                <c:pt idx="2">
                  <c:v>0.5714285714285714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59-4547-8855-BF23839488F9}"/>
            </c:ext>
          </c:extLst>
        </c:ser>
        <c:ser>
          <c:idx val="2"/>
          <c:order val="2"/>
          <c:tx>
            <c:strRef>
              <c:f>Лист1!$D$62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Лист1!$A$63:$A$65</c:f>
              <c:strCache>
                <c:ptCount val="3"/>
                <c:pt idx="0">
                  <c:v>Организации для детей-сирот</c:v>
                </c:pt>
                <c:pt idx="1">
                  <c:v>Профессиональные образовательные организации</c:v>
                </c:pt>
                <c:pt idx="2">
                  <c:v>Органы опеки и попечительства, Центр постинтернатного сопровождения</c:v>
                </c:pt>
              </c:strCache>
            </c:strRef>
          </c:cat>
          <c:val>
            <c:numRef>
              <c:f>Лист1!$D$63:$D$65</c:f>
              <c:numCache>
                <c:formatCode>0%</c:formatCode>
                <c:ptCount val="3"/>
                <c:pt idx="0">
                  <c:v>0.33333333333333331</c:v>
                </c:pt>
                <c:pt idx="1">
                  <c:v>8.3333333333333329E-2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59-4547-8855-BF23839488F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74820992"/>
        <c:axId val="74826880"/>
      </c:barChart>
      <c:catAx>
        <c:axId val="7482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826880"/>
        <c:crosses val="autoZero"/>
        <c:auto val="1"/>
        <c:lblAlgn val="ctr"/>
        <c:lblOffset val="100"/>
        <c:noMultiLvlLbl val="0"/>
      </c:catAx>
      <c:valAx>
        <c:axId val="7482688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482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2B98-E7EB-46B8-B5E5-47C719B1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Обший</dc:creator>
  <cp:lastModifiedBy>Ирина</cp:lastModifiedBy>
  <cp:revision>2</cp:revision>
  <dcterms:created xsi:type="dcterms:W3CDTF">2019-10-01T05:53:00Z</dcterms:created>
  <dcterms:modified xsi:type="dcterms:W3CDTF">2019-10-01T05:53:00Z</dcterms:modified>
</cp:coreProperties>
</file>